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EBC4D" w14:textId="7F2D8BFC" w:rsidR="008726F9" w:rsidRDefault="00CE1EF6" w:rsidP="00CE1EF6">
      <w:pPr>
        <w:ind w:left="142"/>
      </w:pPr>
      <w:r>
        <w:rPr>
          <w:noProof/>
        </w:rPr>
        <w:drawing>
          <wp:inline distT="0" distB="0" distL="0" distR="0" wp14:anchorId="11603B7C" wp14:editId="50D3A5E2">
            <wp:extent cx="9677400" cy="4815840"/>
            <wp:effectExtent l="0" t="0" r="0" b="381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B754301-C63F-4AAA-8396-5DE348858DE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8726F9" w:rsidSect="00CE1EF6">
      <w:pgSz w:w="16838" w:h="11906" w:orient="landscape"/>
      <w:pgMar w:top="1800" w:right="536" w:bottom="180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F33"/>
    <w:rsid w:val="00195435"/>
    <w:rsid w:val="008726F9"/>
    <w:rsid w:val="00A65C6E"/>
    <w:rsid w:val="00AA5F33"/>
    <w:rsid w:val="00BE74F1"/>
    <w:rsid w:val="00C23F14"/>
    <w:rsid w:val="00CE1EF6"/>
    <w:rsid w:val="00E43D4E"/>
    <w:rsid w:val="00F6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95B11F"/>
  <w15:chartTrackingRefBased/>
  <w15:docId w15:val="{36ED3D9B-7717-4C6E-9645-63FCDA311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ilgvars.zihmanis\Documents\medibas%20gadu%20griezuma\1%20-%20medijamo%20dzivnieku%20sugu%20dinamika\parnadzu%20dinamika%20no%20199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lv-LV"/>
              <a:t>Aļņu (Alces alces) skaita dinamika Latvijā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lv-LV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Novērtēts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lv-LV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Sheet1!$A$2:$A$30</c:f>
              <c:strCache>
                <c:ptCount val="29"/>
                <c:pt idx="0">
                  <c:v>1994/1995</c:v>
                </c:pt>
                <c:pt idx="1">
                  <c:v>1995/1996</c:v>
                </c:pt>
                <c:pt idx="2">
                  <c:v>1996/1997</c:v>
                </c:pt>
                <c:pt idx="3">
                  <c:v>1997/1998</c:v>
                </c:pt>
                <c:pt idx="4">
                  <c:v>1998/1999</c:v>
                </c:pt>
                <c:pt idx="5">
                  <c:v>1999/2000</c:v>
                </c:pt>
                <c:pt idx="6">
                  <c:v>2000/2001</c:v>
                </c:pt>
                <c:pt idx="7">
                  <c:v>2001/2002</c:v>
                </c:pt>
                <c:pt idx="8">
                  <c:v>2002/2003</c:v>
                </c:pt>
                <c:pt idx="9">
                  <c:v>2003/2004</c:v>
                </c:pt>
                <c:pt idx="10">
                  <c:v>2004/2005</c:v>
                </c:pt>
                <c:pt idx="11">
                  <c:v>2005/2006</c:v>
                </c:pt>
                <c:pt idx="12">
                  <c:v>2006/2007</c:v>
                </c:pt>
                <c:pt idx="13">
                  <c:v>2007/2008</c:v>
                </c:pt>
                <c:pt idx="14">
                  <c:v>2008/2009</c:v>
                </c:pt>
                <c:pt idx="15">
                  <c:v>2009/2010</c:v>
                </c:pt>
                <c:pt idx="16">
                  <c:v>2010/2011</c:v>
                </c:pt>
                <c:pt idx="17">
                  <c:v>2011/2012</c:v>
                </c:pt>
                <c:pt idx="18">
                  <c:v>2012/2013</c:v>
                </c:pt>
                <c:pt idx="19">
                  <c:v>2013/2014</c:v>
                </c:pt>
                <c:pt idx="20">
                  <c:v>2014/2015</c:v>
                </c:pt>
                <c:pt idx="21">
                  <c:v>2015/2016</c:v>
                </c:pt>
                <c:pt idx="22">
                  <c:v>2016/2017</c:v>
                </c:pt>
                <c:pt idx="23">
                  <c:v>2017/2018</c:v>
                </c:pt>
                <c:pt idx="24">
                  <c:v>2018/2019</c:v>
                </c:pt>
                <c:pt idx="25">
                  <c:v>2019/2020</c:v>
                </c:pt>
                <c:pt idx="26">
                  <c:v>2020/2021</c:v>
                </c:pt>
                <c:pt idx="27">
                  <c:v>2021/2022</c:v>
                </c:pt>
                <c:pt idx="28">
                  <c:v>2022/2023</c:v>
                </c:pt>
              </c:strCache>
            </c:strRef>
          </c:cat>
          <c:val>
            <c:numRef>
              <c:f>Sheet1!$B$2:$B$30</c:f>
              <c:numCache>
                <c:formatCode>General</c:formatCode>
                <c:ptCount val="29"/>
                <c:pt idx="0">
                  <c:v>8694</c:v>
                </c:pt>
                <c:pt idx="1">
                  <c:v>7212</c:v>
                </c:pt>
                <c:pt idx="2">
                  <c:v>6646</c:v>
                </c:pt>
                <c:pt idx="3">
                  <c:v>6974</c:v>
                </c:pt>
                <c:pt idx="4">
                  <c:v>8075</c:v>
                </c:pt>
                <c:pt idx="5">
                  <c:v>9176</c:v>
                </c:pt>
                <c:pt idx="6">
                  <c:v>10595</c:v>
                </c:pt>
                <c:pt idx="7">
                  <c:v>11803</c:v>
                </c:pt>
                <c:pt idx="8">
                  <c:v>13291</c:v>
                </c:pt>
                <c:pt idx="9">
                  <c:v>14218</c:v>
                </c:pt>
                <c:pt idx="10">
                  <c:v>13793</c:v>
                </c:pt>
                <c:pt idx="11">
                  <c:v>14494</c:v>
                </c:pt>
                <c:pt idx="12">
                  <c:v>14498</c:v>
                </c:pt>
                <c:pt idx="13">
                  <c:v>14488</c:v>
                </c:pt>
                <c:pt idx="14">
                  <c:v>14409</c:v>
                </c:pt>
                <c:pt idx="15">
                  <c:v>15004</c:v>
                </c:pt>
                <c:pt idx="16">
                  <c:v>16430</c:v>
                </c:pt>
                <c:pt idx="17">
                  <c:v>17509</c:v>
                </c:pt>
                <c:pt idx="18">
                  <c:v>19307</c:v>
                </c:pt>
                <c:pt idx="19">
                  <c:v>20579</c:v>
                </c:pt>
                <c:pt idx="20">
                  <c:v>21081</c:v>
                </c:pt>
                <c:pt idx="21">
                  <c:v>21000</c:v>
                </c:pt>
                <c:pt idx="22">
                  <c:v>22000</c:v>
                </c:pt>
                <c:pt idx="23">
                  <c:v>23000</c:v>
                </c:pt>
                <c:pt idx="24">
                  <c:v>23000</c:v>
                </c:pt>
                <c:pt idx="25">
                  <c:v>23000</c:v>
                </c:pt>
                <c:pt idx="26">
                  <c:v>24000</c:v>
                </c:pt>
                <c:pt idx="27">
                  <c:v>23000</c:v>
                </c:pt>
                <c:pt idx="28">
                  <c:v>21000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208-4667-A301-04DEF221157A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Limits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lv-LV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Sheet1!$A$2:$A$30</c:f>
              <c:strCache>
                <c:ptCount val="29"/>
                <c:pt idx="0">
                  <c:v>1994/1995</c:v>
                </c:pt>
                <c:pt idx="1">
                  <c:v>1995/1996</c:v>
                </c:pt>
                <c:pt idx="2">
                  <c:v>1996/1997</c:v>
                </c:pt>
                <c:pt idx="3">
                  <c:v>1997/1998</c:v>
                </c:pt>
                <c:pt idx="4">
                  <c:v>1998/1999</c:v>
                </c:pt>
                <c:pt idx="5">
                  <c:v>1999/2000</c:v>
                </c:pt>
                <c:pt idx="6">
                  <c:v>2000/2001</c:v>
                </c:pt>
                <c:pt idx="7">
                  <c:v>2001/2002</c:v>
                </c:pt>
                <c:pt idx="8">
                  <c:v>2002/2003</c:v>
                </c:pt>
                <c:pt idx="9">
                  <c:v>2003/2004</c:v>
                </c:pt>
                <c:pt idx="10">
                  <c:v>2004/2005</c:v>
                </c:pt>
                <c:pt idx="11">
                  <c:v>2005/2006</c:v>
                </c:pt>
                <c:pt idx="12">
                  <c:v>2006/2007</c:v>
                </c:pt>
                <c:pt idx="13">
                  <c:v>2007/2008</c:v>
                </c:pt>
                <c:pt idx="14">
                  <c:v>2008/2009</c:v>
                </c:pt>
                <c:pt idx="15">
                  <c:v>2009/2010</c:v>
                </c:pt>
                <c:pt idx="16">
                  <c:v>2010/2011</c:v>
                </c:pt>
                <c:pt idx="17">
                  <c:v>2011/2012</c:v>
                </c:pt>
                <c:pt idx="18">
                  <c:v>2012/2013</c:v>
                </c:pt>
                <c:pt idx="19">
                  <c:v>2013/2014</c:v>
                </c:pt>
                <c:pt idx="20">
                  <c:v>2014/2015</c:v>
                </c:pt>
                <c:pt idx="21">
                  <c:v>2015/2016</c:v>
                </c:pt>
                <c:pt idx="22">
                  <c:v>2016/2017</c:v>
                </c:pt>
                <c:pt idx="23">
                  <c:v>2017/2018</c:v>
                </c:pt>
                <c:pt idx="24">
                  <c:v>2018/2019</c:v>
                </c:pt>
                <c:pt idx="25">
                  <c:v>2019/2020</c:v>
                </c:pt>
                <c:pt idx="26">
                  <c:v>2020/2021</c:v>
                </c:pt>
                <c:pt idx="27">
                  <c:v>2021/2022</c:v>
                </c:pt>
                <c:pt idx="28">
                  <c:v>2022/2023</c:v>
                </c:pt>
              </c:strCache>
            </c:strRef>
          </c:cat>
          <c:val>
            <c:numRef>
              <c:f>Sheet1!$C$2:$C$30</c:f>
              <c:numCache>
                <c:formatCode>General</c:formatCode>
                <c:ptCount val="29"/>
                <c:pt idx="0">
                  <c:v>2532</c:v>
                </c:pt>
                <c:pt idx="1">
                  <c:v>1488</c:v>
                </c:pt>
                <c:pt idx="2">
                  <c:v>1112</c:v>
                </c:pt>
                <c:pt idx="3">
                  <c:v>1288</c:v>
                </c:pt>
                <c:pt idx="4">
                  <c:v>1630</c:v>
                </c:pt>
                <c:pt idx="5">
                  <c:v>2122</c:v>
                </c:pt>
                <c:pt idx="6">
                  <c:v>2619</c:v>
                </c:pt>
                <c:pt idx="7">
                  <c:v>2989</c:v>
                </c:pt>
                <c:pt idx="8">
                  <c:v>3442</c:v>
                </c:pt>
                <c:pt idx="9">
                  <c:v>3473</c:v>
                </c:pt>
                <c:pt idx="10">
                  <c:v>3182</c:v>
                </c:pt>
                <c:pt idx="11">
                  <c:v>3271</c:v>
                </c:pt>
                <c:pt idx="12">
                  <c:v>3164</c:v>
                </c:pt>
                <c:pt idx="13">
                  <c:v>2970</c:v>
                </c:pt>
                <c:pt idx="14">
                  <c:v>2813</c:v>
                </c:pt>
                <c:pt idx="15">
                  <c:v>3133</c:v>
                </c:pt>
                <c:pt idx="16">
                  <c:v>3533</c:v>
                </c:pt>
                <c:pt idx="17">
                  <c:v>3545</c:v>
                </c:pt>
                <c:pt idx="18">
                  <c:v>4696</c:v>
                </c:pt>
                <c:pt idx="19">
                  <c:v>5321</c:v>
                </c:pt>
                <c:pt idx="20">
                  <c:v>5592</c:v>
                </c:pt>
                <c:pt idx="21">
                  <c:v>6622</c:v>
                </c:pt>
                <c:pt idx="22">
                  <c:v>6867</c:v>
                </c:pt>
                <c:pt idx="23">
                  <c:v>7801</c:v>
                </c:pt>
                <c:pt idx="24">
                  <c:v>8286</c:v>
                </c:pt>
                <c:pt idx="25">
                  <c:v>8738</c:v>
                </c:pt>
                <c:pt idx="26">
                  <c:v>9084</c:v>
                </c:pt>
                <c:pt idx="27">
                  <c:v>8493</c:v>
                </c:pt>
                <c:pt idx="28">
                  <c:v>7898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208-4667-A301-04DEF221157A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Nomedīts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lv-LV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Sheet1!$A$2:$A$30</c:f>
              <c:strCache>
                <c:ptCount val="29"/>
                <c:pt idx="0">
                  <c:v>1994/1995</c:v>
                </c:pt>
                <c:pt idx="1">
                  <c:v>1995/1996</c:v>
                </c:pt>
                <c:pt idx="2">
                  <c:v>1996/1997</c:v>
                </c:pt>
                <c:pt idx="3">
                  <c:v>1997/1998</c:v>
                </c:pt>
                <c:pt idx="4">
                  <c:v>1998/1999</c:v>
                </c:pt>
                <c:pt idx="5">
                  <c:v>1999/2000</c:v>
                </c:pt>
                <c:pt idx="6">
                  <c:v>2000/2001</c:v>
                </c:pt>
                <c:pt idx="7">
                  <c:v>2001/2002</c:v>
                </c:pt>
                <c:pt idx="8">
                  <c:v>2002/2003</c:v>
                </c:pt>
                <c:pt idx="9">
                  <c:v>2003/2004</c:v>
                </c:pt>
                <c:pt idx="10">
                  <c:v>2004/2005</c:v>
                </c:pt>
                <c:pt idx="11">
                  <c:v>2005/2006</c:v>
                </c:pt>
                <c:pt idx="12">
                  <c:v>2006/2007</c:v>
                </c:pt>
                <c:pt idx="13">
                  <c:v>2007/2008</c:v>
                </c:pt>
                <c:pt idx="14">
                  <c:v>2008/2009</c:v>
                </c:pt>
                <c:pt idx="15">
                  <c:v>2009/2010</c:v>
                </c:pt>
                <c:pt idx="16">
                  <c:v>2010/2011</c:v>
                </c:pt>
                <c:pt idx="17">
                  <c:v>2011/2012</c:v>
                </c:pt>
                <c:pt idx="18">
                  <c:v>2012/2013</c:v>
                </c:pt>
                <c:pt idx="19">
                  <c:v>2013/2014</c:v>
                </c:pt>
                <c:pt idx="20">
                  <c:v>2014/2015</c:v>
                </c:pt>
                <c:pt idx="21">
                  <c:v>2015/2016</c:v>
                </c:pt>
                <c:pt idx="22">
                  <c:v>2016/2017</c:v>
                </c:pt>
                <c:pt idx="23">
                  <c:v>2017/2018</c:v>
                </c:pt>
                <c:pt idx="24">
                  <c:v>2018/2019</c:v>
                </c:pt>
                <c:pt idx="25">
                  <c:v>2019/2020</c:v>
                </c:pt>
                <c:pt idx="26">
                  <c:v>2020/2021</c:v>
                </c:pt>
                <c:pt idx="27">
                  <c:v>2021/2022</c:v>
                </c:pt>
                <c:pt idx="28">
                  <c:v>2022/2023</c:v>
                </c:pt>
              </c:strCache>
            </c:strRef>
          </c:cat>
          <c:val>
            <c:numRef>
              <c:f>Sheet1!$D$2:$D$30</c:f>
              <c:numCache>
                <c:formatCode>General</c:formatCode>
                <c:ptCount val="29"/>
                <c:pt idx="0">
                  <c:v>1675</c:v>
                </c:pt>
                <c:pt idx="1">
                  <c:v>1162</c:v>
                </c:pt>
                <c:pt idx="2">
                  <c:v>885</c:v>
                </c:pt>
                <c:pt idx="3">
                  <c:v>994</c:v>
                </c:pt>
                <c:pt idx="4">
                  <c:v>1327</c:v>
                </c:pt>
                <c:pt idx="5">
                  <c:v>1747</c:v>
                </c:pt>
                <c:pt idx="6">
                  <c:v>2064</c:v>
                </c:pt>
                <c:pt idx="7">
                  <c:v>2344</c:v>
                </c:pt>
                <c:pt idx="8">
                  <c:v>2585</c:v>
                </c:pt>
                <c:pt idx="9">
                  <c:v>2521</c:v>
                </c:pt>
                <c:pt idx="10">
                  <c:v>2579</c:v>
                </c:pt>
                <c:pt idx="11">
                  <c:v>2667</c:v>
                </c:pt>
                <c:pt idx="12">
                  <c:v>2521</c:v>
                </c:pt>
                <c:pt idx="13">
                  <c:v>2316</c:v>
                </c:pt>
                <c:pt idx="14">
                  <c:v>2371</c:v>
                </c:pt>
                <c:pt idx="15">
                  <c:v>2661</c:v>
                </c:pt>
                <c:pt idx="16">
                  <c:v>2861</c:v>
                </c:pt>
                <c:pt idx="17">
                  <c:v>3190</c:v>
                </c:pt>
                <c:pt idx="18">
                  <c:v>3855</c:v>
                </c:pt>
                <c:pt idx="19">
                  <c:v>4349</c:v>
                </c:pt>
                <c:pt idx="20">
                  <c:v>4894</c:v>
                </c:pt>
                <c:pt idx="21">
                  <c:v>5810</c:v>
                </c:pt>
                <c:pt idx="22">
                  <c:v>6416</c:v>
                </c:pt>
                <c:pt idx="23">
                  <c:v>7052</c:v>
                </c:pt>
                <c:pt idx="24">
                  <c:v>7474</c:v>
                </c:pt>
                <c:pt idx="25">
                  <c:v>7791</c:v>
                </c:pt>
                <c:pt idx="26">
                  <c:v>7163</c:v>
                </c:pt>
                <c:pt idx="27">
                  <c:v>6521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208-4667-A301-04DEF221157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02887808"/>
        <c:axId val="102889344"/>
      </c:lineChart>
      <c:catAx>
        <c:axId val="1028878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lv-LV"/>
          </a:p>
        </c:txPr>
        <c:crossAx val="102889344"/>
        <c:crosses val="autoZero"/>
        <c:auto val="1"/>
        <c:lblAlgn val="ctr"/>
        <c:lblOffset val="100"/>
        <c:noMultiLvlLbl val="0"/>
      </c:catAx>
      <c:valAx>
        <c:axId val="1028893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lv-LV"/>
          </a:p>
        </c:txPr>
        <c:crossAx val="102887808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lv-LV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lv-LV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Ilgvars Zihmanis</dc:creator>
  <cp:keywords/>
  <dc:description/>
  <cp:lastModifiedBy>Ilgvars Zihmanis</cp:lastModifiedBy>
  <cp:revision>4</cp:revision>
  <dcterms:created xsi:type="dcterms:W3CDTF">2020-10-27T10:32:00Z</dcterms:created>
  <dcterms:modified xsi:type="dcterms:W3CDTF">2022-06-02T08:04:00Z</dcterms:modified>
</cp:coreProperties>
</file>